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96"/>
        <w:pBdr/>
        <w:spacing/>
        <w:ind/>
        <w:jc w:val="center"/>
        <w:rPr/>
      </w:pPr>
      <w:r>
        <mc:AlternateContent>
          <mc:Choice Requires="wpg">
            <w:drawing>
              <wp:inline xmlns:wp="http://schemas.openxmlformats.org/drawingml/2006/wordprocessingDrawing" distT="0" distB="0" distL="0" distR="0">
                <wp:extent cx="5940425" cy="7187533"/>
                <wp:effectExtent l="0" t="0" r="0" b="0"/>
                <wp:docPr id="1" name="Picture 0" descr="ciyc5_edit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08066" name="ciyc5_edited copy.png"/>
                        <pic:cNvPicPr>
                          <a:picLocks noChangeAspect="1"/>
                        </pic:cNvPicPr>
                        <pic:nvPr/>
                      </pic:nvPicPr>
                      <pic:blipFill>
                        <a:blip r:embed="rId9"/>
                        <a:stretch/>
                      </pic:blipFill>
                      <pic:spPr bwMode="auto">
                        <a:xfrm rot="0" flipH="0" flipV="0">
                          <a:off x="0" y="0"/>
                          <a:ext cx="5940424" cy="7187532"/>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67.75pt;height:565.95pt;mso-wrap-distance-left:0.00pt;mso-wrap-distance-top:0.00pt;mso-wrap-distance-right:0.00pt;mso-wrap-distance-bottom:0.00pt;rotation:0;z-index:1;" stroked="false">
                <v:imagedata r:id="rId9" o:title=""/>
                <o:lock v:ext="edit" rotation="t"/>
              </v:shape>
            </w:pict>
          </mc:Fallback>
        </mc:AlternateContent>
      </w:r>
      <w:r>
        <w:br/>
      </w:r>
      <w:r/>
    </w:p>
    <w:p>
      <w:pPr>
        <w:pStyle w:val="696"/>
        <w:pBdr/>
        <w:spacing/>
        <w:ind/>
        <w:jc w:val="center"/>
        <w:rPr>
          <w:highlight w:val="none"/>
        </w:rPr>
      </w:pPr>
      <w:r>
        <w:t xml:space="preserve">2024 CIYC </w:t>
      </w:r>
      <w:r>
        <w:rPr>
          <w:lang w:val="en-CA"/>
        </w:rPr>
        <w:t xml:space="preserve">Labour Day</w:t>
      </w:r>
      <w:r>
        <w:t xml:space="preserve"> Regatta </w:t>
      </w:r>
      <w:r>
        <w:rPr>
          <w:highlight w:val="none"/>
        </w:rPr>
      </w:r>
      <w:r>
        <w:rPr>
          <w:highlight w:val="none"/>
        </w:rPr>
      </w:r>
    </w:p>
    <w:p>
      <w:pPr>
        <w:pStyle w:val="696"/>
        <w:pBdr/>
        <w:spacing/>
        <w:ind/>
        <w:jc w:val="center"/>
        <w:rPr/>
      </w:pPr>
      <w:r>
        <w:rPr>
          <w:highlight w:val="none"/>
        </w:rPr>
        <w:t xml:space="preserve">Sailing Instructions</w:t>
      </w:r>
      <w:r/>
    </w:p>
    <w:p>
      <w:pPr>
        <w:pBdr/>
        <w:shd w:val="nil" w:color="000000"/>
        <w:spacing/>
        <w:ind/>
        <w:rPr>
          <w:highlight w:val="none"/>
          <w14:ligatures w14:val="none"/>
        </w:rPr>
      </w:pPr>
      <w:r>
        <w:rPr>
          <w:highlight w:val="none"/>
        </w:rPr>
        <w:br w:type="page" w:clear="all"/>
      </w:r>
      <w:r>
        <w:rPr>
          <w:highlight w:val="none"/>
          <w14:ligatures w14:val="none"/>
        </w:rPr>
      </w:r>
      <w:r>
        <w:rPr>
          <w:highlight w:val="none"/>
          <w14:ligatures w14:val="none"/>
        </w:rPr>
      </w:r>
    </w:p>
    <w:p>
      <w:pPr>
        <w:pStyle w:val="680"/>
        <w:pBdr/>
        <w:spacing/>
        <w:ind/>
        <w:rPr>
          <w:highlight w:val="none"/>
          <w14:ligatures w14:val="none"/>
        </w:rPr>
      </w:pPr>
      <w:r>
        <w:t xml:space="preserve">1</w:t>
        <w:tab/>
        <w:t xml:space="preserve">Rules</w:t>
      </w:r>
      <w:r>
        <w:rPr>
          <w:highlight w:val="none"/>
          <w14:ligatures w14:val="none"/>
        </w:rPr>
      </w:r>
      <w:r>
        <w:rPr>
          <w:highlight w:val="none"/>
          <w14:ligatures w14:val="none"/>
        </w:rPr>
      </w:r>
    </w:p>
    <w:p>
      <w:pPr>
        <w:pBdr/>
        <w:spacing/>
        <w:ind w:right="0" w:hanging="709" w:left="709"/>
        <w:rPr>
          <w:highlight w:val="none"/>
        </w:rPr>
      </w:pPr>
      <w:r>
        <w:t xml:space="preserve">1.1</w:t>
        <w:tab/>
      </w:r>
      <w:r>
        <w:t xml:space="preserve">The event is governed by the rules as defined in The Racing Rules of Sailing, and the prescriptions of Sail Canada.</w:t>
      </w:r>
      <w:r>
        <w:rPr>
          <w:highlight w:val="none"/>
        </w:rPr>
      </w:r>
      <w:r>
        <w:rPr>
          <w:highlight w:val="none"/>
        </w:rPr>
      </w:r>
    </w:p>
    <w:p>
      <w:pPr>
        <w:pBdr/>
        <w:spacing/>
        <w:ind w:right="0" w:hanging="709" w:left="709"/>
        <w:rPr>
          <w:highlight w:val="none"/>
        </w:rPr>
      </w:pPr>
      <w:r>
        <w:rPr>
          <w:highlight w:val="none"/>
        </w:rPr>
        <w:t xml:space="preserve">1.1</w:t>
        <w:tab/>
        <w:t xml:space="preserve">RRS Appendix G2 is modified to read: </w:t>
      </w:r>
      <w:r>
        <w:rPr>
          <w:highlight w:val="none"/>
        </w:rPr>
      </w:r>
      <w:r>
        <w:rPr>
          <w:highlight w:val="none"/>
        </w:rPr>
      </w:r>
    </w:p>
    <w:p>
      <w:pPr>
        <w:pBdr/>
        <w:spacing/>
        <w:ind w:right="0" w:firstLine="0" w:left="992"/>
        <w:rPr>
          <w:highlight w:val="none"/>
        </w:rPr>
      </w:pPr>
      <w:r>
        <w:rPr>
          <w:highlight w:val="none"/>
        </w:rPr>
        <w:t xml:space="preserve">Other boats </w:t>
      </w:r>
      <w:r>
        <w:rPr>
          <w:i/>
          <w:iCs/>
          <w:highlight w:val="none"/>
        </w:rPr>
        <w:t xml:space="preserve">should </w:t>
      </w:r>
      <w:r>
        <w:rPr>
          <w:highlight w:val="none"/>
        </w:rPr>
        <w:t xml:space="preserve">comply with the rules of their national authority or </w:t>
      </w:r>
      <w:r>
        <w:rPr>
          <w:highlight w:val="none"/>
        </w:rPr>
        <w:t xml:space="preserve">class association in regard to the allotment, carrying and size of </w:t>
      </w:r>
      <w:r>
        <w:rPr>
          <w:highlight w:val="none"/>
        </w:rPr>
        <w:t xml:space="preserve">insignia, letters and numbers. Such rules shall, when practicable, </w:t>
      </w:r>
      <w:r>
        <w:rPr>
          <w:highlight w:val="none"/>
        </w:rPr>
        <w:t xml:space="preserve">conform to the above requirements.</w:t>
      </w:r>
      <w:r>
        <w:rPr>
          <w:highlight w:val="none"/>
        </w:rPr>
      </w:r>
      <w:r>
        <w:rPr>
          <w:highlight w:val="none"/>
        </w:rPr>
      </w:r>
    </w:p>
    <w:p>
      <w:pPr>
        <w:pBdr/>
        <w:spacing/>
        <w:ind w:right="0" w:firstLine="0" w:left="0"/>
        <w:rPr>
          <w:highlight w:val="none"/>
        </w:rPr>
      </w:pPr>
      <w:r>
        <w:rPr>
          <w:highlight w:val="none"/>
        </w:rPr>
        <w:t xml:space="preserve">1.2</w:t>
        <w:tab/>
        <w:t xml:space="preserve">Appendix T, Arbitration shall apply.</w:t>
      </w:r>
      <w:r>
        <w:rPr>
          <w:highlight w:val="none"/>
        </w:rPr>
      </w:r>
      <w:r>
        <w:rPr>
          <w:highlight w:val="none"/>
        </w:rPr>
      </w:r>
    </w:p>
    <w:p>
      <w:pPr>
        <w:pStyle w:val="680"/>
        <w:pBdr/>
        <w:spacing/>
        <w:ind/>
        <w:rPr>
          <w:highlight w:val="none"/>
        </w:rPr>
      </w:pPr>
      <w:r>
        <w:rPr>
          <w:highlight w:val="none"/>
        </w:rPr>
        <w:t xml:space="preserve">2</w:t>
        <w:tab/>
        <w:t xml:space="preserve">Changes to Sailing Instructions</w:t>
      </w:r>
      <w:r>
        <w:rPr>
          <w:highlight w:val="none"/>
        </w:rPr>
      </w:r>
      <w:r>
        <w:rPr>
          <w:highlight w:val="none"/>
        </w:rPr>
      </w:r>
    </w:p>
    <w:p>
      <w:pPr>
        <w:pBdr/>
        <w:spacing/>
        <w:ind w:right="0" w:hanging="709" w:left="709"/>
        <w:rPr>
          <w:highlight w:val="none"/>
        </w:rPr>
      </w:pPr>
      <w:r>
        <w:rPr>
          <w:highlight w:val="none"/>
        </w:rPr>
        <w:t xml:space="preserve">2.1</w:t>
        <w:tab/>
        <w:t xml:space="preserve">Any change to the sailing instructions will be posted before 0900 on </w:t>
      </w:r>
      <w:r>
        <w:rPr>
          <w:highlight w:val="none"/>
          <w:lang w:val="en-CA"/>
        </w:rPr>
        <w:t xml:space="preserve">September 2nd</w:t>
      </w:r>
      <w:r>
        <w:rPr>
          <w:highlight w:val="none"/>
        </w:rPr>
        <w:t xml:space="preserve">, except that any changes to the schedule of races will be posted by 2200 on the day before it will take effect. </w:t>
      </w:r>
      <w:r>
        <w:rPr>
          <w:highlight w:val="none"/>
        </w:rPr>
      </w:r>
      <w:r>
        <w:rPr>
          <w:highlight w:val="none"/>
        </w:rPr>
      </w:r>
    </w:p>
    <w:p>
      <w:pPr>
        <w:pStyle w:val="680"/>
        <w:pBdr/>
        <w:spacing/>
        <w:ind/>
        <w:rPr>
          <w:highlight w:val="none"/>
        </w:rPr>
      </w:pPr>
      <w:r>
        <w:rPr>
          <w:highlight w:val="none"/>
        </w:rPr>
        <w:t xml:space="preserve">3</w:t>
        <w:tab/>
        <w:t xml:space="preserve">Communications</w:t>
      </w:r>
      <w:r>
        <w:rPr>
          <w:highlight w:val="none"/>
        </w:rPr>
      </w:r>
      <w:r>
        <w:rPr>
          <w:highlight w:val="none"/>
        </w:rPr>
      </w:r>
    </w:p>
    <w:p>
      <w:pPr>
        <w:pBdr/>
        <w:spacing/>
        <w:ind w:right="0" w:hanging="709" w:left="709"/>
        <w:rPr>
          <w:highlight w:val="none"/>
        </w:rPr>
      </w:pPr>
      <w:r>
        <w:rPr>
          <w:highlight w:val="none"/>
        </w:rPr>
        <w:t xml:space="preserve">3.1</w:t>
        <w:tab/>
        <w:t xml:space="preserve">Notices to competitors will be posted on the official notice board (see NoR) and on the CIYC website.</w:t>
      </w:r>
      <w:r>
        <w:rPr>
          <w:highlight w:val="none"/>
        </w:rPr>
      </w:r>
      <w:r>
        <w:rPr>
          <w:highlight w:val="none"/>
        </w:rPr>
      </w:r>
    </w:p>
    <w:p>
      <w:pPr>
        <w:pBdr/>
        <w:spacing/>
        <w:ind w:right="0" w:hanging="709" w:left="709"/>
        <w:rPr>
          <w:highlight w:val="none"/>
        </w:rPr>
      </w:pPr>
      <w:r>
        <w:rPr>
          <w:highlight w:val="none"/>
        </w:rPr>
        <w:t xml:space="preserve">3.2 </w:t>
        <w:tab/>
        <w:t xml:space="preserve">On the water, the committee boat shall monitor VHF channel 72.</w:t>
      </w:r>
      <w:r>
        <w:rPr>
          <w:highlight w:val="none"/>
        </w:rPr>
      </w:r>
      <w:r>
        <w:rPr>
          <w:highlight w:val="none"/>
        </w:rPr>
      </w:r>
    </w:p>
    <w:p>
      <w:pPr>
        <w:pBdr/>
        <w:spacing/>
        <w:ind w:right="0" w:hanging="709" w:left="709"/>
        <w:rPr>
          <w:highlight w:val="none"/>
        </w:rPr>
      </w:pPr>
      <w:r>
        <w:rPr>
          <w:highlight w:val="none"/>
        </w:rPr>
        <w:t xml:space="preserve">3.3</w:t>
        <w:tab/>
        <w:t xml:space="preserve">The failure of a boat to receive a VHF transmission from the committee boat is not grounds for redress. This changes RRS 62.1.</w:t>
      </w:r>
      <w:r>
        <w:rPr>
          <w:highlight w:val="none"/>
        </w:rPr>
      </w:r>
      <w:r>
        <w:rPr>
          <w:highlight w:val="none"/>
        </w:rPr>
      </w:r>
    </w:p>
    <w:p>
      <w:pPr>
        <w:pStyle w:val="680"/>
        <w:pBdr/>
        <w:spacing/>
        <w:ind/>
        <w:rPr>
          <w:highlight w:val="none"/>
        </w:rPr>
      </w:pPr>
      <w:r>
        <w:rPr>
          <w:highlight w:val="none"/>
        </w:rPr>
        <w:t xml:space="preserve">4</w:t>
        <w:tab/>
        <w:t xml:space="preserve">Signals Made Ashore</w:t>
      </w:r>
      <w:r>
        <w:rPr>
          <w:highlight w:val="none"/>
        </w:rPr>
      </w:r>
      <w:r>
        <w:rPr>
          <w:highlight w:val="none"/>
        </w:rPr>
      </w:r>
    </w:p>
    <w:p>
      <w:pPr>
        <w:pBdr/>
        <w:spacing/>
        <w:ind w:right="0" w:hanging="709" w:left="709"/>
        <w:rPr>
          <w:highlight w:val="none"/>
        </w:rPr>
      </w:pPr>
      <w:r>
        <w:rPr>
          <w:highlight w:val="none"/>
        </w:rPr>
        <w:t xml:space="preserve">4.1</w:t>
        <w:tab/>
        <w:t xml:space="preserve">Signals made ashore will be displayed on the deck of the CIYC club house.</w:t>
      </w:r>
      <w:r>
        <w:rPr>
          <w:highlight w:val="none"/>
        </w:rPr>
      </w:r>
      <w:r>
        <w:rPr>
          <w:highlight w:val="none"/>
        </w:rPr>
      </w:r>
    </w:p>
    <w:p>
      <w:pPr>
        <w:pBdr/>
        <w:spacing/>
        <w:ind w:right="0" w:hanging="709" w:left="709"/>
        <w:rPr>
          <w:highlight w:val="none"/>
        </w:rPr>
      </w:pPr>
      <w:r>
        <w:rPr>
          <w:highlight w:val="none"/>
        </w:rPr>
        <w:t xml:space="preserve">4.2</w:t>
        <w:tab/>
        <w:t xml:space="preserve">When flag AP is displayed ashore ‘1 minute’ is replaced with ‘not less than 20 minutes’ in Race Signals AP.</w:t>
      </w:r>
      <w:r>
        <w:rPr>
          <w:highlight w:val="none"/>
        </w:rPr>
      </w:r>
      <w:r>
        <w:rPr>
          <w:highlight w:val="none"/>
        </w:rPr>
      </w:r>
    </w:p>
    <w:p>
      <w:pPr>
        <w:pStyle w:val="680"/>
        <w:pBdr/>
        <w:spacing/>
        <w:ind/>
        <w:rPr>
          <w:highlight w:val="none"/>
        </w:rPr>
      </w:pPr>
      <w:r>
        <w:rPr>
          <w:highlight w:val="none"/>
        </w:rPr>
        <w:t xml:space="preserve">5 </w:t>
        <w:tab/>
        <w:t xml:space="preserve">Race Conditions</w:t>
      </w:r>
      <w:r>
        <w:rPr>
          <w:highlight w:val="none"/>
        </w:rPr>
      </w:r>
      <w:r>
        <w:rPr>
          <w:highlight w:val="none"/>
        </w:rPr>
      </w:r>
    </w:p>
    <w:p>
      <w:pPr>
        <w:pBdr/>
        <w:spacing/>
        <w:ind w:right="0" w:hanging="709" w:left="709"/>
        <w:rPr/>
      </w:pPr>
      <w:r>
        <w:t xml:space="preserve">5.</w:t>
      </w:r>
      <w:r>
        <w:t xml:space="preserve">1</w:t>
        <w:tab/>
        <w:t xml:space="preserve">T</w:t>
      </w:r>
      <w:r>
        <w:t xml:space="preserve">he Race shall not be started if the average wind speed is less than 3 knots or more than 25 knots, or in the event of imminent thunderstorms. The determination of when a race shall not be run shall be at the discretion of the committee boat. </w:t>
      </w:r>
      <w:r/>
    </w:p>
    <w:p>
      <w:pPr>
        <w:pStyle w:val="680"/>
        <w:pBdr/>
        <w:spacing/>
        <w:ind/>
        <w:rPr>
          <w:highlight w:val="none"/>
        </w:rPr>
      </w:pPr>
      <w:r>
        <w:rPr>
          <w:highlight w:val="none"/>
        </w:rPr>
        <w:t xml:space="preserve">6</w:t>
        <w:tab/>
        <w:t xml:space="preserve">Courses</w:t>
      </w:r>
      <w:r>
        <w:rPr>
          <w:highlight w:val="none"/>
        </w:rPr>
      </w:r>
      <w:r>
        <w:rPr>
          <w:highlight w:val="none"/>
        </w:rPr>
      </w:r>
    </w:p>
    <w:p>
      <w:pPr>
        <w:pBdr/>
        <w:spacing/>
        <w:ind w:right="0" w:hanging="709" w:left="709"/>
        <w:rPr>
          <w:highlight w:val="none"/>
        </w:rPr>
      </w:pPr>
      <w:r>
        <w:rPr>
          <w:highlight w:val="none"/>
        </w:rPr>
        <w:t xml:space="preserve">6.1</w:t>
        <w:tab/>
        <w:t xml:space="preserve">Addendum 2 of the NoR lists the courses which may be run.</w:t>
      </w:r>
      <w:r>
        <w:rPr>
          <w:highlight w:val="none"/>
        </w:rPr>
      </w:r>
      <w:r>
        <w:rPr>
          <w:highlight w:val="none"/>
        </w:rPr>
      </w:r>
    </w:p>
    <w:p>
      <w:pPr>
        <w:pBdr/>
        <w:spacing/>
        <w:ind w:right="0" w:hanging="709" w:left="709"/>
        <w:rPr>
          <w:highlight w:val="none"/>
        </w:rPr>
      </w:pPr>
      <w:r>
        <w:rPr>
          <w:highlight w:val="none"/>
        </w:rPr>
        <w:t xml:space="preserve">6.2</w:t>
        <w:tab/>
        <w:t xml:space="preserve">No later than the 5 minutes before the warning signal, the committee boat shall announce the course to be sailed by VHF.</w:t>
      </w:r>
      <w:r>
        <w:rPr>
          <w:highlight w:val="none"/>
        </w:rPr>
      </w:r>
      <w:r>
        <w:rPr>
          <w:highlight w:val="none"/>
        </w:rPr>
      </w:r>
    </w:p>
    <w:p>
      <w:pPr>
        <w:pBdr/>
        <w:spacing/>
        <w:ind w:right="0" w:hanging="709" w:left="709"/>
        <w:rPr>
          <w:highlight w:val="none"/>
        </w:rPr>
      </w:pPr>
      <w:r>
        <w:rPr>
          <w:highlight w:val="none"/>
        </w:rPr>
        <w:t xml:space="preserve">6.3</w:t>
        <w:tab/>
        <w:t xml:space="preserve">Courses shall not be shortened, and </w:t>
      </w:r>
      <w:r>
        <w:rPr>
          <w:highlight w:val="none"/>
        </w:rPr>
        <w:t xml:space="preserve">the course shall not be changed once announced by the committee boat.</w:t>
      </w:r>
      <w:r>
        <w:rPr>
          <w:highlight w:val="none"/>
        </w:rPr>
      </w:r>
      <w:r>
        <w:rPr>
          <w:highlight w:val="none"/>
        </w:rPr>
      </w:r>
    </w:p>
    <w:p>
      <w:pPr>
        <w:pStyle w:val="680"/>
        <w:pBdr/>
        <w:spacing/>
        <w:ind/>
        <w:rPr>
          <w:highlight w:val="none"/>
        </w:rPr>
      </w:pPr>
      <w:r>
        <w:rPr>
          <w:highlight w:val="none"/>
        </w:rPr>
        <w:t xml:space="preserve">7</w:t>
        <w:tab/>
        <w:t xml:space="preserve">The Start</w:t>
      </w:r>
      <w:r>
        <w:rPr>
          <w:highlight w:val="none"/>
        </w:rPr>
      </w:r>
      <w:r>
        <w:rPr>
          <w:highlight w:val="none"/>
        </w:rPr>
      </w:r>
    </w:p>
    <w:p>
      <w:pPr>
        <w:pBdr/>
        <w:spacing/>
        <w:ind w:right="0" w:hanging="709" w:left="709"/>
        <w:rPr>
          <w:highlight w:val="none"/>
        </w:rPr>
      </w:pPr>
      <w:r>
        <w:rPr>
          <w:highlight w:val="none"/>
        </w:rPr>
        <w:t xml:space="preserve">7.1 </w:t>
        <w:tab/>
        <w:t xml:space="preserve">The starting line is between the start/finish mark and the orange flag on the committee boat, or if there is no committee boat an  orange drop mark.</w:t>
      </w:r>
      <w:r>
        <w:rPr>
          <w:highlight w:val="none"/>
        </w:rPr>
      </w:r>
      <w:r>
        <w:rPr>
          <w:highlight w:val="none"/>
        </w:rPr>
      </w:r>
    </w:p>
    <w:p>
      <w:pPr>
        <w:pBdr/>
        <w:spacing/>
        <w:ind w:right="0" w:hanging="709" w:left="709"/>
        <w:rPr>
          <w:highlight w:val="none"/>
        </w:rPr>
      </w:pPr>
      <w:r>
        <w:rPr>
          <w:highlight w:val="none"/>
        </w:rPr>
        <w:t xml:space="preserve">7.2</w:t>
        <w:tab/>
        <w:t xml:space="preserve">Boats whose warning signal has not been made shall avoid the starting area during the starting sequence for other races.</w:t>
      </w:r>
      <w:r>
        <w:rPr>
          <w:highlight w:val="none"/>
        </w:rPr>
      </w:r>
      <w:r>
        <w:rPr>
          <w:highlight w:val="none"/>
        </w:rPr>
      </w:r>
    </w:p>
    <w:p>
      <w:pPr>
        <w:pBdr/>
        <w:spacing/>
        <w:ind w:right="0" w:hanging="709" w:left="709"/>
        <w:rPr>
          <w:highlight w:val="none"/>
        </w:rPr>
      </w:pPr>
      <w:r>
        <w:rPr>
          <w:highlight w:val="none"/>
        </w:rPr>
        <w:t xml:space="preserve">7.3</w:t>
        <w:tab/>
        <w:t xml:space="preserve">If any part of a boat’s hull is on the course side of the starting line during the tw</w:t>
      </w:r>
      <w:r>
        <w:rPr>
          <w:highlight w:val="none"/>
        </w:rPr>
        <w:t xml:space="preserve">o minutes before her starting signal and she is identified, the committee boat will attempt to broadcast her sail number or name on VHF channel 72. Failure to make a broadcast or to time it accurately will not be grounds for redress. This changes RRS 62.1.</w:t>
      </w:r>
      <w:r>
        <w:rPr>
          <w:highlight w:val="none"/>
        </w:rPr>
      </w:r>
      <w:r>
        <w:rPr>
          <w:highlight w:val="none"/>
        </w:rPr>
      </w:r>
    </w:p>
    <w:p>
      <w:pPr>
        <w:pBdr/>
        <w:spacing/>
        <w:ind w:right="0" w:hanging="709" w:left="709"/>
        <w:rPr>
          <w:highlight w:val="none"/>
        </w:rPr>
      </w:pPr>
      <w:r>
        <w:rPr>
          <w:highlight w:val="none"/>
        </w:rPr>
        <w:t xml:space="preserve">7.4</w:t>
        <w:tab/>
        <w:t xml:space="preserve">The start order shall be:</w:t>
      </w:r>
      <w:r>
        <w:rPr>
          <w:highlight w:val="none"/>
        </w:rPr>
      </w:r>
      <w:r>
        <w:rPr>
          <w:highlight w:val="none"/>
        </w:rPr>
      </w:r>
    </w:p>
    <w:p>
      <w:pPr>
        <w:pStyle w:val="858"/>
        <w:numPr>
          <w:ilvl w:val="0"/>
          <w:numId w:val="2"/>
        </w:numPr>
        <w:pBdr/>
        <w:spacing/>
        <w:ind w:right="0"/>
        <w:rPr>
          <w:highlight w:val="none"/>
        </w:rPr>
      </w:pPr>
      <w:r>
        <w:rPr>
          <w:highlight w:val="none"/>
        </w:rPr>
        <w:t xml:space="preserve">PHRF Spinnaker and PHRF JOG A in a combined start. </w:t>
      </w:r>
      <w:r>
        <w:rPr>
          <w:highlight w:val="none"/>
        </w:rPr>
      </w:r>
      <w:r>
        <w:rPr>
          <w:highlight w:val="none"/>
        </w:rPr>
      </w:r>
    </w:p>
    <w:p>
      <w:pPr>
        <w:pStyle w:val="858"/>
        <w:numPr>
          <w:ilvl w:val="0"/>
          <w:numId w:val="2"/>
        </w:numPr>
        <w:pBdr/>
        <w:spacing/>
        <w:ind w:right="0"/>
        <w:rPr>
          <w:highlight w:val="none"/>
        </w:rPr>
      </w:pPr>
      <w:r>
        <w:rPr>
          <w:highlight w:val="none"/>
        </w:rPr>
        <w:t xml:space="preserve">PHRF JOG B in a separate start. </w:t>
      </w:r>
      <w:r>
        <w:rPr>
          <w:highlight w:val="none"/>
        </w:rPr>
      </w:r>
      <w:r>
        <w:rPr>
          <w:highlight w:val="none"/>
        </w:rPr>
      </w:r>
    </w:p>
    <w:p>
      <w:pPr>
        <w:pBdr/>
        <w:spacing/>
        <w:ind w:right="0" w:hanging="709" w:left="709"/>
        <w:rPr>
          <w:highlight w:val="none"/>
        </w:rPr>
      </w:pPr>
      <w:r>
        <w:rPr>
          <w:highlight w:val="none"/>
        </w:rPr>
        <w:t xml:space="preserve">7.5</w:t>
        <w:tab/>
        <w:t xml:space="preserve">There may be a delay between the start signal of the first start and the warning signal for the second start.</w:t>
      </w:r>
      <w:r>
        <w:rPr>
          <w:highlight w:val="none"/>
        </w:rPr>
      </w:r>
      <w:r>
        <w:rPr>
          <w:highlight w:val="none"/>
        </w:rPr>
      </w:r>
    </w:p>
    <w:p>
      <w:pPr>
        <w:pStyle w:val="680"/>
        <w:pBdr/>
        <w:spacing/>
        <w:ind/>
        <w:rPr>
          <w:highlight w:val="none"/>
        </w:rPr>
      </w:pPr>
      <w:r>
        <w:t xml:space="preserve">8</w:t>
        <w:tab/>
        <w:t xml:space="preserve">The Finish</w:t>
      </w:r>
      <w:r>
        <w:rPr>
          <w:highlight w:val="none"/>
        </w:rPr>
      </w:r>
      <w:r>
        <w:rPr>
          <w:highlight w:val="none"/>
        </w:rPr>
      </w:r>
    </w:p>
    <w:p>
      <w:pPr>
        <w:pBdr/>
        <w:spacing/>
        <w:ind w:right="0" w:hanging="709" w:left="709"/>
        <w:rPr>
          <w:highlight w:val="none"/>
        </w:rPr>
      </w:pPr>
      <w:r>
        <w:rPr>
          <w:highlight w:val="none"/>
        </w:rPr>
        <w:t xml:space="preserve">8.1 </w:t>
      </w:r>
      <w:r>
        <w:rPr>
          <w:highlight w:val="none"/>
        </w:rPr>
        <w:tab/>
        <w:t xml:space="preserve">The </w:t>
      </w:r>
      <w:r>
        <w:rPr>
          <w:highlight w:val="none"/>
          <w:lang w:val="en-CA"/>
        </w:rPr>
        <w:t xml:space="preserve">finish </w:t>
      </w:r>
      <w:r>
        <w:rPr>
          <w:highlight w:val="none"/>
        </w:rPr>
        <w:t xml:space="preserve">line is between the start/finish mark and the blue flag on the committee boat, or if there is no committee boat an orange drop mark.</w:t>
      </w:r>
      <w:r>
        <w:rPr>
          <w:highlight w:val="none"/>
        </w:rPr>
      </w:r>
      <w:r>
        <w:rPr>
          <w:highlight w:val="none"/>
        </w:rPr>
      </w:r>
    </w:p>
    <w:p>
      <w:pPr>
        <w:pBdr/>
        <w:spacing/>
        <w:ind w:right="0" w:hanging="709" w:left="709"/>
        <w:rPr>
          <w:highlight w:val="none"/>
        </w:rPr>
      </w:pPr>
      <w:r>
        <w:rPr>
          <w:highlight w:val="none"/>
        </w:rPr>
        <w:t xml:space="preserve">8.2</w:t>
        <w:tab/>
        <w:t xml:space="preserve">If the committee boat is absent when a boat finishes, she shall report her finishing time (GPS time) and position in relation to nearby boats to the committee boat, Scorer, or CIYC Race Committee at the first available opportunity. </w:t>
      </w:r>
      <w:r>
        <w:rPr>
          <w:highlight w:val="none"/>
        </w:rPr>
      </w:r>
      <w:r>
        <w:rPr>
          <w:highlight w:val="none"/>
        </w:rPr>
      </w:r>
    </w:p>
    <w:p>
      <w:pPr>
        <w:pStyle w:val="680"/>
        <w:pBdr/>
        <w:spacing/>
        <w:ind/>
        <w:rPr>
          <w:highlight w:val="none"/>
        </w:rPr>
      </w:pPr>
      <w:r>
        <w:rPr>
          <w:highlight w:val="none"/>
        </w:rPr>
        <w:t xml:space="preserve">9</w:t>
        <w:tab/>
        <w:t xml:space="preserve">Time Limits &amp; Discontinued Races</w:t>
      </w:r>
      <w:r>
        <w:rPr>
          <w:highlight w:val="none"/>
        </w:rPr>
      </w:r>
      <w:r>
        <w:rPr>
          <w:highlight w:val="none"/>
        </w:rPr>
      </w:r>
    </w:p>
    <w:p>
      <w:pPr>
        <w:pBdr/>
        <w:spacing/>
        <w:ind w:right="0" w:hanging="709" w:left="709"/>
        <w:rPr>
          <w:highlight w:val="none"/>
        </w:rPr>
      </w:pPr>
      <w:r>
        <w:rPr>
          <w:highlight w:val="none"/>
        </w:rPr>
        <w:t xml:space="preserve">9.1</w:t>
        <w:tab/>
        <w:t xml:space="preserve">If no boat has finished within 12 hours of the first start signal the race shall be abandoned. </w:t>
      </w:r>
      <w:r>
        <w:rPr>
          <w:highlight w:val="none"/>
        </w:rPr>
      </w:r>
      <w:r>
        <w:rPr>
          <w:highlight w:val="none"/>
        </w:rPr>
      </w:r>
    </w:p>
    <w:p>
      <w:pPr>
        <w:pBdr/>
        <w:spacing/>
        <w:ind w:right="0" w:hanging="709" w:left="709"/>
        <w:rPr>
          <w:highlight w:val="none"/>
        </w:rPr>
      </w:pPr>
      <w:r>
        <w:rPr>
          <w:highlight w:val="none"/>
        </w:rPr>
        <w:t xml:space="preserve">9.2</w:t>
        <w:tab/>
        <w:t xml:space="preserve">Boats which do not finish within 4 hour of the first boat to finish in their class shall be scored OCF without a hearing. </w:t>
      </w:r>
      <w:r>
        <w:rPr>
          <w:highlight w:val="none"/>
        </w:rPr>
      </w:r>
      <w:r>
        <w:rPr>
          <w:highlight w:val="none"/>
        </w:rPr>
      </w:r>
    </w:p>
    <w:p>
      <w:pPr>
        <w:pBdr/>
        <w:spacing/>
        <w:ind w:right="0" w:hanging="709" w:left="709"/>
        <w:rPr>
          <w:highlight w:val="none"/>
        </w:rPr>
      </w:pPr>
      <w:r>
        <w:rPr>
          <w:highlight w:val="none"/>
        </w:rPr>
        <w:t xml:space="preserve">9.3 </w:t>
        <w:tab/>
      </w:r>
      <w:r>
        <w:rPr>
          <w:highlight w:val="none"/>
        </w:rPr>
        <w:t xml:space="preserve">I</w:t>
      </w:r>
      <w:r>
        <w:rPr>
          <w:highlight w:val="none"/>
        </w:rPr>
        <w:t xml:space="preserve">n the event that an abandonment is signaled in accordance with RRS 32.1 after one or more boats in a fleet have finished, the race shall be considered discontinued, and not abandoned. Boats which have not yet finished a race when it is discontinued shall b</w:t>
      </w:r>
      <w:r>
        <w:rPr>
          <w:highlight w:val="none"/>
        </w:rPr>
        <w:t xml:space="preserve">e scored OCF without a hearing. </w:t>
      </w:r>
      <w:r>
        <w:rPr>
          <w:highlight w:val="none"/>
        </w:rPr>
      </w:r>
      <w:r>
        <w:rPr>
          <w:highlight w:val="none"/>
        </w:rPr>
      </w:r>
    </w:p>
    <w:p>
      <w:pPr>
        <w:pBdr/>
        <w:spacing/>
        <w:ind w:right="0" w:hanging="709" w:left="709"/>
        <w:rPr>
          <w:highlight w:val="none"/>
        </w:rPr>
      </w:pPr>
      <w:r>
        <w:rPr>
          <w:highlight w:val="none"/>
        </w:rPr>
        <w:t xml:space="preserve">9.4</w:t>
        <w:tab/>
      </w:r>
      <w:r>
        <w:rPr>
          <w:highlight w:val="none"/>
        </w:rPr>
        <w:t xml:space="preserve">A boat scored OCF shall be scored points for the </w:t>
      </w:r>
      <w:r>
        <w:rPr>
          <w:highlight w:val="none"/>
        </w:rPr>
        <w:t xml:space="preserve">finishing place one more than the points scored by the last boat that finished</w:t>
      </w:r>
      <w:r>
        <w:rPr>
          <w:highlight w:val="none"/>
        </w:rPr>
        <w:t xml:space="preserve">. This changes RRS 35, A5, and A10.</w:t>
      </w:r>
      <w:r>
        <w:rPr>
          <w:highlight w:val="none"/>
        </w:rPr>
      </w:r>
      <w:r>
        <w:rPr>
          <w:highlight w:val="none"/>
        </w:rPr>
      </w:r>
    </w:p>
    <w:p>
      <w:pPr>
        <w:pStyle w:val="680"/>
        <w:pBdr/>
        <w:spacing/>
        <w:ind/>
        <w:rPr>
          <w:highlight w:val="none"/>
        </w:rPr>
      </w:pPr>
      <w:r>
        <w:rPr>
          <w:highlight w:val="none"/>
        </w:rPr>
        <w:t xml:space="preserve">10</w:t>
        <w:tab/>
        <w:t xml:space="preserve">Hearing Requests</w:t>
      </w:r>
      <w:r>
        <w:rPr>
          <w:highlight w:val="none"/>
        </w:rPr>
      </w:r>
      <w:r>
        <w:rPr>
          <w:highlight w:val="none"/>
        </w:rPr>
      </w:r>
    </w:p>
    <w:p>
      <w:pPr>
        <w:pBdr/>
        <w:spacing/>
        <w:ind w:right="0" w:hanging="709" w:left="709"/>
        <w:rPr>
          <w:highlight w:val="none"/>
        </w:rPr>
      </w:pPr>
      <w:r>
        <w:rPr>
          <w:highlight w:val="none"/>
        </w:rPr>
        <w:t xml:space="preserve">10.1</w:t>
        <w:tab/>
        <w:t xml:space="preserve">The protest time limit is 1 hour after the last boat finishes on the day of a scheduled race. Protests must be submitted to the CICY Race Committee or emailed to Kevin Alles at </w:t>
      </w:r>
      <w:hyperlink r:id="rId10" w:tooltip="mailto:kevin.sailor@gmail.com" w:history="1">
        <w:r>
          <w:rPr>
            <w:rStyle w:val="836"/>
            <w:b w:val="0"/>
            <w:bCs w:val="0"/>
            <w:highlight w:val="none"/>
          </w:rPr>
          <w:t xml:space="preserve">kevin.sailor@gmail.com</w:t>
        </w:r>
        <w:r>
          <w:rPr>
            <w:rStyle w:val="836"/>
            <w:b w:val="0"/>
            <w:bCs w:val="0"/>
            <w:highlight w:val="none"/>
          </w:rPr>
        </w:r>
        <w:r>
          <w:rPr>
            <w:rStyle w:val="836"/>
            <w:b w:val="0"/>
            <w:bCs w:val="0"/>
            <w:highlight w:val="none"/>
          </w:rPr>
        </w:r>
      </w:hyperlink>
      <w:r>
        <w:rPr>
          <w:highlight w:val="none"/>
        </w:rPr>
      </w:r>
      <w:r>
        <w:rPr>
          <w:highlight w:val="none"/>
        </w:rPr>
      </w:r>
    </w:p>
    <w:p>
      <w:pPr>
        <w:pBdr/>
        <w:spacing/>
        <w:ind w:right="0" w:hanging="709" w:left="709"/>
        <w:rPr>
          <w:highlight w:val="none"/>
        </w:rPr>
      </w:pPr>
      <w:r>
        <w:rPr>
          <w:highlight w:val="none"/>
        </w:rPr>
        <w:t xml:space="preserve">10.2</w:t>
        <w:tab/>
        <w:t xml:space="preserve">Hearing request forms are available on the CIYC website.</w:t>
      </w:r>
      <w:r>
        <w:rPr>
          <w:highlight w:val="none"/>
        </w:rPr>
      </w:r>
      <w:r>
        <w:rPr>
          <w:highlight w:val="none"/>
        </w:rPr>
      </w:r>
    </w:p>
    <w:p>
      <w:pPr>
        <w:pBdr/>
        <w:spacing/>
        <w:ind w:right="0" w:hanging="709" w:left="709"/>
        <w:rPr>
          <w:highlight w:val="none"/>
        </w:rPr>
      </w:pPr>
      <w:r>
        <w:rPr>
          <w:highlight w:val="none"/>
        </w:rPr>
        <w:t xml:space="preserve">10.3</w:t>
        <w:tab/>
        <w:t xml:space="preserve">Notices will be posted no later than 1 hour after the protest time to inform competitors of hearings in which they are parties or names as witnesses. Hearings will be heard as soon as possible at CIYC. </w:t>
      </w:r>
      <w:r>
        <w:rPr>
          <w:highlight w:val="none"/>
        </w:rPr>
      </w:r>
      <w:r>
        <w:rPr>
          <w:highlight w:val="none"/>
        </w:rPr>
      </w:r>
    </w:p>
    <w:p>
      <w:pPr>
        <w:pStyle w:val="680"/>
        <w:pBdr/>
        <w:spacing/>
        <w:ind/>
        <w:rPr>
          <w:highlight w:val="none"/>
        </w:rPr>
      </w:pPr>
      <w:r>
        <w:rPr>
          <w:highlight w:val="none"/>
        </w:rPr>
        <w:t xml:space="preserve">11</w:t>
        <w:tab/>
        <w:t xml:space="preserve">Safety Regulations</w:t>
      </w:r>
      <w:r>
        <w:rPr>
          <w:highlight w:val="none"/>
        </w:rPr>
      </w:r>
      <w:r>
        <w:rPr>
          <w:highlight w:val="none"/>
        </w:rPr>
      </w:r>
    </w:p>
    <w:p>
      <w:pPr>
        <w:pBdr/>
        <w:spacing/>
        <w:ind w:right="0" w:hanging="709" w:left="709"/>
        <w:rPr>
          <w:highlight w:val="none"/>
        </w:rPr>
      </w:pPr>
      <w:r>
        <w:rPr>
          <w:highlight w:val="none"/>
        </w:rPr>
        <w:t xml:space="preserve">11.1</w:t>
        <w:tab/>
        <w:t xml:space="preserve">A boat that retires from racing shall notify the committee boat at the first reasonable opportunity.</w:t>
      </w:r>
      <w:r>
        <w:rPr>
          <w:highlight w:val="none"/>
        </w:rPr>
      </w:r>
      <w:r>
        <w:rPr>
          <w:highlight w:val="none"/>
        </w:rPr>
      </w:r>
    </w:p>
    <w:p>
      <w:pPr>
        <w:pStyle w:val="680"/>
        <w:pBdr/>
        <w:spacing/>
        <w:ind/>
        <w:rPr>
          <w:highlight w:val="none"/>
        </w:rPr>
      </w:pPr>
      <w:r>
        <w:rPr>
          <w:highlight w:val="none"/>
        </w:rPr>
        <w:t xml:space="preserve">12</w:t>
        <w:tab/>
        <w:t xml:space="preserve">Manual Power</w:t>
      </w:r>
      <w:r>
        <w:rPr>
          <w:highlight w:val="none"/>
        </w:rPr>
      </w:r>
      <w:r>
        <w:rPr>
          <w:highlight w:val="none"/>
        </w:rPr>
      </w:r>
    </w:p>
    <w:p>
      <w:pPr>
        <w:pBdr/>
        <w:spacing/>
        <w:ind w:right="0" w:hanging="709" w:left="709"/>
        <w:rPr>
          <w:highlight w:val="none"/>
        </w:rPr>
      </w:pPr>
      <w:r>
        <w:rPr>
          <w:highlight w:val="none"/>
        </w:rPr>
        <w:t xml:space="preserve">12.1</w:t>
        <w:tab/>
        <w:t xml:space="preserve">Power-assisted winches and other devices are permitted for adjusting running rigging. This changes RRS 52.</w:t>
      </w:r>
      <w:r>
        <w:rPr>
          <w:highlight w:val="none"/>
        </w:rPr>
      </w:r>
      <w:r>
        <w:rPr>
          <w:highlight w:val="none"/>
        </w:rPr>
      </w:r>
    </w:p>
    <w:p>
      <w:pPr>
        <w:pBdr/>
        <w:spacing/>
        <w:ind w:right="0" w:hanging="709" w:left="709"/>
        <w:rPr>
          <w:highlight w:val="none"/>
        </w:rPr>
      </w:pPr>
      <w:r>
        <w:rPr>
          <w:highlight w:val="none"/>
        </w:rPr>
        <w:t xml:space="preserve">12.2</w:t>
        <w:tab/>
        <w:t xml:space="preserve">Autohelms are allowed for steering</w:t>
      </w:r>
      <w:r>
        <w:rPr>
          <w:highlight w:val="none"/>
        </w:rPr>
      </w:r>
      <w:r>
        <w:rPr>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1417"/>
      </w:pPr>
      <w:rPr>
        <w:rFonts w:hint="default" w:ascii="Symbol" w:hAnsi="Symbol" w:eastAsia="Symbol" w:cs="Symbol"/>
      </w:rPr>
      <w:start w:val="1"/>
      <w:suff w:val="tab"/>
    </w:lvl>
    <w:lvl w:ilvl="1">
      <w:isLgl w:val="false"/>
      <w:lvlJc w:val="left"/>
      <w:lvlText w:val="o"/>
      <w:numFmt w:val="bullet"/>
      <w:pPr>
        <w:pBdr/>
        <w:spacing/>
        <w:ind w:hanging="360" w:left="2137"/>
      </w:pPr>
      <w:rPr>
        <w:rFonts w:hint="default" w:ascii="Courier New" w:hAnsi="Courier New" w:eastAsia="Courier New" w:cs="Courier New"/>
      </w:rPr>
      <w:start w:val="1"/>
      <w:suff w:val="tab"/>
    </w:lvl>
    <w:lvl w:ilvl="2">
      <w:isLgl w:val="false"/>
      <w:lvlJc w:val="left"/>
      <w:lvlText w:val="§"/>
      <w:numFmt w:val="bullet"/>
      <w:pPr>
        <w:pBdr/>
        <w:spacing/>
        <w:ind w:hanging="360" w:left="2857"/>
      </w:pPr>
      <w:rPr>
        <w:rFonts w:hint="default" w:ascii="Wingdings" w:hAnsi="Wingdings" w:eastAsia="Wingdings" w:cs="Wingdings"/>
      </w:rPr>
      <w:start w:val="1"/>
      <w:suff w:val="tab"/>
    </w:lvl>
    <w:lvl w:ilvl="3">
      <w:isLgl w:val="false"/>
      <w:lvlJc w:val="left"/>
      <w:lvlText w:val="·"/>
      <w:numFmt w:val="bullet"/>
      <w:pPr>
        <w:pBdr/>
        <w:spacing/>
        <w:ind w:hanging="360" w:left="3577"/>
      </w:pPr>
      <w:rPr>
        <w:rFonts w:hint="default" w:ascii="Symbol" w:hAnsi="Symbol" w:eastAsia="Symbol" w:cs="Symbol"/>
      </w:rPr>
      <w:start w:val="1"/>
      <w:suff w:val="tab"/>
    </w:lvl>
    <w:lvl w:ilvl="4">
      <w:isLgl w:val="false"/>
      <w:lvlJc w:val="left"/>
      <w:lvlText w:val="o"/>
      <w:numFmt w:val="bullet"/>
      <w:pPr>
        <w:pBdr/>
        <w:spacing/>
        <w:ind w:hanging="360" w:left="4297"/>
      </w:pPr>
      <w:rPr>
        <w:rFonts w:hint="default" w:ascii="Courier New" w:hAnsi="Courier New" w:eastAsia="Courier New" w:cs="Courier New"/>
      </w:rPr>
      <w:start w:val="1"/>
      <w:suff w:val="tab"/>
    </w:lvl>
    <w:lvl w:ilvl="5">
      <w:isLgl w:val="false"/>
      <w:lvlJc w:val="left"/>
      <w:lvlText w:val="§"/>
      <w:numFmt w:val="bullet"/>
      <w:pPr>
        <w:pBdr/>
        <w:spacing/>
        <w:ind w:hanging="360" w:left="5017"/>
      </w:pPr>
      <w:rPr>
        <w:rFonts w:hint="default" w:ascii="Wingdings" w:hAnsi="Wingdings" w:eastAsia="Wingdings" w:cs="Wingdings"/>
      </w:rPr>
      <w:start w:val="1"/>
      <w:suff w:val="tab"/>
    </w:lvl>
    <w:lvl w:ilvl="6">
      <w:isLgl w:val="false"/>
      <w:lvlJc w:val="left"/>
      <w:lvlText w:val="·"/>
      <w:numFmt w:val="bullet"/>
      <w:pPr>
        <w:pBdr/>
        <w:spacing/>
        <w:ind w:hanging="360" w:left="5737"/>
      </w:pPr>
      <w:rPr>
        <w:rFonts w:hint="default" w:ascii="Symbol" w:hAnsi="Symbol" w:eastAsia="Symbol" w:cs="Symbol"/>
      </w:rPr>
      <w:start w:val="1"/>
      <w:suff w:val="tab"/>
    </w:lvl>
    <w:lvl w:ilvl="7">
      <w:isLgl w:val="false"/>
      <w:lvlJc w:val="left"/>
      <w:lvlText w:val="o"/>
      <w:numFmt w:val="bullet"/>
      <w:pPr>
        <w:pBdr/>
        <w:spacing/>
        <w:ind w:hanging="360" w:left="6457"/>
      </w:pPr>
      <w:rPr>
        <w:rFonts w:hint="default" w:ascii="Courier New" w:hAnsi="Courier New" w:eastAsia="Courier New" w:cs="Courier New"/>
      </w:rPr>
      <w:start w:val="1"/>
      <w:suff w:val="tab"/>
    </w:lvl>
    <w:lvl w:ilvl="8">
      <w:isLgl w:val="false"/>
      <w:lvlJc w:val="left"/>
      <w:lvlText w:val="§"/>
      <w:numFmt w:val="bullet"/>
      <w:pPr>
        <w:pBdr/>
        <w:spacing/>
        <w:ind w:hanging="360" w:left="7177"/>
      </w:pPr>
      <w:rPr>
        <w:rFonts w:hint="default" w:ascii="Wingdings" w:hAnsi="Wingdings" w:eastAsia="Wingdings" w:cs="Wingdings"/>
      </w:rPr>
      <w:start w:val="1"/>
      <w:suff w:val="tab"/>
    </w:lvl>
  </w:abstractNum>
  <w:abstractNum w:abstractNumId="1">
    <w:lvl w:ilvl="0">
      <w:isLgl w:val="false"/>
      <w:lvlJc w:val="left"/>
      <w:lvlText w:val="–"/>
      <w:numFmt w:val="bullet"/>
      <w:pPr>
        <w:pBdr/>
        <w:spacing/>
        <w:ind w:hanging="360" w:left="1417"/>
      </w:pPr>
      <w:rPr>
        <w:rFonts w:hint="default" w:ascii="Arial" w:hAnsi="Arial" w:eastAsia="Arial" w:cs="Arial"/>
      </w:rPr>
      <w:start w:val="1"/>
      <w:suff w:val="tab"/>
    </w:lvl>
    <w:lvl w:ilvl="1">
      <w:isLgl w:val="false"/>
      <w:lvlJc w:val="left"/>
      <w:lvlText w:val="o"/>
      <w:numFmt w:val="bullet"/>
      <w:pPr>
        <w:pBdr/>
        <w:spacing/>
        <w:ind w:hanging="360" w:left="2137"/>
      </w:pPr>
      <w:rPr>
        <w:rFonts w:hint="default" w:ascii="Courier New" w:hAnsi="Courier New" w:eastAsia="Courier New" w:cs="Courier New"/>
      </w:rPr>
      <w:start w:val="1"/>
      <w:suff w:val="tab"/>
    </w:lvl>
    <w:lvl w:ilvl="2">
      <w:isLgl w:val="false"/>
      <w:lvlJc w:val="left"/>
      <w:lvlText w:val="§"/>
      <w:numFmt w:val="bullet"/>
      <w:pPr>
        <w:pBdr/>
        <w:spacing/>
        <w:ind w:hanging="360" w:left="2857"/>
      </w:pPr>
      <w:rPr>
        <w:rFonts w:hint="default" w:ascii="Wingdings" w:hAnsi="Wingdings" w:eastAsia="Wingdings" w:cs="Wingdings"/>
      </w:rPr>
      <w:start w:val="1"/>
      <w:suff w:val="tab"/>
    </w:lvl>
    <w:lvl w:ilvl="3">
      <w:isLgl w:val="false"/>
      <w:lvlJc w:val="left"/>
      <w:lvlText w:val="·"/>
      <w:numFmt w:val="bullet"/>
      <w:pPr>
        <w:pBdr/>
        <w:spacing/>
        <w:ind w:hanging="360" w:left="3577"/>
      </w:pPr>
      <w:rPr>
        <w:rFonts w:hint="default" w:ascii="Symbol" w:hAnsi="Symbol" w:eastAsia="Symbol" w:cs="Symbol"/>
      </w:rPr>
      <w:start w:val="1"/>
      <w:suff w:val="tab"/>
    </w:lvl>
    <w:lvl w:ilvl="4">
      <w:isLgl w:val="false"/>
      <w:lvlJc w:val="left"/>
      <w:lvlText w:val="o"/>
      <w:numFmt w:val="bullet"/>
      <w:pPr>
        <w:pBdr/>
        <w:spacing/>
        <w:ind w:hanging="360" w:left="4297"/>
      </w:pPr>
      <w:rPr>
        <w:rFonts w:hint="default" w:ascii="Courier New" w:hAnsi="Courier New" w:eastAsia="Courier New" w:cs="Courier New"/>
      </w:rPr>
      <w:start w:val="1"/>
      <w:suff w:val="tab"/>
    </w:lvl>
    <w:lvl w:ilvl="5">
      <w:isLgl w:val="false"/>
      <w:lvlJc w:val="left"/>
      <w:lvlText w:val="§"/>
      <w:numFmt w:val="bullet"/>
      <w:pPr>
        <w:pBdr/>
        <w:spacing/>
        <w:ind w:hanging="360" w:left="5017"/>
      </w:pPr>
      <w:rPr>
        <w:rFonts w:hint="default" w:ascii="Wingdings" w:hAnsi="Wingdings" w:eastAsia="Wingdings" w:cs="Wingdings"/>
      </w:rPr>
      <w:start w:val="1"/>
      <w:suff w:val="tab"/>
    </w:lvl>
    <w:lvl w:ilvl="6">
      <w:isLgl w:val="false"/>
      <w:lvlJc w:val="left"/>
      <w:lvlText w:val="·"/>
      <w:numFmt w:val="bullet"/>
      <w:pPr>
        <w:pBdr/>
        <w:spacing/>
        <w:ind w:hanging="360" w:left="5737"/>
      </w:pPr>
      <w:rPr>
        <w:rFonts w:hint="default" w:ascii="Symbol" w:hAnsi="Symbol" w:eastAsia="Symbol" w:cs="Symbol"/>
      </w:rPr>
      <w:start w:val="1"/>
      <w:suff w:val="tab"/>
    </w:lvl>
    <w:lvl w:ilvl="7">
      <w:isLgl w:val="false"/>
      <w:lvlJc w:val="left"/>
      <w:lvlText w:val="o"/>
      <w:numFmt w:val="bullet"/>
      <w:pPr>
        <w:pBdr/>
        <w:spacing/>
        <w:ind w:hanging="360" w:left="6457"/>
      </w:pPr>
      <w:rPr>
        <w:rFonts w:hint="default" w:ascii="Courier New" w:hAnsi="Courier New" w:eastAsia="Courier New" w:cs="Courier New"/>
      </w:rPr>
      <w:start w:val="1"/>
      <w:suff w:val="tab"/>
    </w:lvl>
    <w:lvl w:ilvl="8">
      <w:isLgl w:val="false"/>
      <w:lvlJc w:val="left"/>
      <w:lvlText w:val="§"/>
      <w:numFmt w:val="bullet"/>
      <w:pPr>
        <w:pBdr/>
        <w:spacing/>
        <w:ind w:hanging="360" w:left="7177"/>
      </w:pPr>
      <w:rPr>
        <w:rFonts w:hint="default" w:ascii="Wingdings" w:hAnsi="Wingdings" w:eastAsia="Wingdings" w:cs="Wingdings"/>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0">
    <w:name w:val="Intense Emphasis"/>
    <w:basedOn w:val="859"/>
    <w:uiPriority w:val="21"/>
    <w:qFormat/>
    <w:pPr>
      <w:pBdr/>
      <w:spacing/>
      <w:ind/>
    </w:pPr>
    <w:rPr>
      <w:i/>
      <w:iCs/>
      <w:color w:val="0f4761" w:themeColor="accent1" w:themeShade="BF"/>
    </w:rPr>
  </w:style>
  <w:style w:type="character" w:styleId="671">
    <w:name w:val="Intense Reference"/>
    <w:basedOn w:val="859"/>
    <w:uiPriority w:val="32"/>
    <w:qFormat/>
    <w:pPr>
      <w:pBdr/>
      <w:spacing/>
      <w:ind/>
    </w:pPr>
    <w:rPr>
      <w:b/>
      <w:bCs/>
      <w:smallCaps/>
      <w:color w:val="0f4761" w:themeColor="accent1" w:themeShade="BF"/>
      <w:spacing w:val="5"/>
    </w:rPr>
  </w:style>
  <w:style w:type="character" w:styleId="672">
    <w:name w:val="Subtle Emphasis"/>
    <w:basedOn w:val="859"/>
    <w:uiPriority w:val="19"/>
    <w:qFormat/>
    <w:pPr>
      <w:pBdr/>
      <w:spacing/>
      <w:ind/>
    </w:pPr>
    <w:rPr>
      <w:i/>
      <w:iCs/>
      <w:color w:val="404040" w:themeColor="text1" w:themeTint="BF"/>
    </w:rPr>
  </w:style>
  <w:style w:type="character" w:styleId="673">
    <w:name w:val="Emphasis"/>
    <w:basedOn w:val="859"/>
    <w:uiPriority w:val="20"/>
    <w:qFormat/>
    <w:pPr>
      <w:pBdr/>
      <w:spacing/>
      <w:ind/>
    </w:pPr>
    <w:rPr>
      <w:i/>
      <w:iCs/>
    </w:rPr>
  </w:style>
  <w:style w:type="character" w:styleId="674">
    <w:name w:val="Strong"/>
    <w:basedOn w:val="859"/>
    <w:uiPriority w:val="22"/>
    <w:qFormat/>
    <w:pPr>
      <w:pBdr/>
      <w:spacing/>
      <w:ind/>
    </w:pPr>
    <w:rPr>
      <w:b/>
      <w:bCs/>
    </w:rPr>
  </w:style>
  <w:style w:type="character" w:styleId="675">
    <w:name w:val="Subtle Reference"/>
    <w:basedOn w:val="859"/>
    <w:uiPriority w:val="31"/>
    <w:qFormat/>
    <w:pPr>
      <w:pBdr/>
      <w:spacing/>
      <w:ind/>
    </w:pPr>
    <w:rPr>
      <w:smallCaps/>
      <w:color w:val="5a5a5a" w:themeColor="text1" w:themeTint="A5"/>
    </w:rPr>
  </w:style>
  <w:style w:type="character" w:styleId="676">
    <w:name w:val="Book Title"/>
    <w:basedOn w:val="859"/>
    <w:uiPriority w:val="33"/>
    <w:qFormat/>
    <w:pPr>
      <w:pBdr/>
      <w:spacing/>
      <w:ind/>
    </w:pPr>
    <w:rPr>
      <w:b/>
      <w:bCs/>
      <w:i/>
      <w:iCs/>
      <w:spacing w:val="5"/>
    </w:rPr>
  </w:style>
  <w:style w:type="character" w:styleId="677">
    <w:name w:val="FollowedHyperlink"/>
    <w:basedOn w:val="859"/>
    <w:uiPriority w:val="99"/>
    <w:semiHidden/>
    <w:unhideWhenUsed/>
    <w:pPr>
      <w:pBdr/>
      <w:spacing/>
      <w:ind/>
    </w:pPr>
    <w:rPr>
      <w:color w:val="954f72" w:themeColor="followedHyperlink"/>
      <w:u w:val="single"/>
    </w:rPr>
  </w:style>
  <w:style w:type="paragraph" w:styleId="678">
    <w:name w:val="Heading 1"/>
    <w:basedOn w:val="854"/>
    <w:next w:val="854"/>
    <w:link w:val="679"/>
    <w:uiPriority w:val="9"/>
    <w:qFormat/>
    <w:pPr>
      <w:keepNext w:val="true"/>
      <w:keepLines w:val="true"/>
      <w:pBdr/>
      <w:spacing w:after="200" w:before="480"/>
      <w:ind/>
      <w:outlineLvl w:val="0"/>
    </w:pPr>
    <w:rPr>
      <w:rFonts w:ascii="Arial" w:hAnsi="Arial" w:eastAsia="Arial" w:cs="Arial"/>
      <w:sz w:val="40"/>
      <w:szCs w:val="40"/>
    </w:rPr>
  </w:style>
  <w:style w:type="character" w:styleId="679">
    <w:name w:val="Heading 1 Char"/>
    <w:link w:val="678"/>
    <w:uiPriority w:val="9"/>
    <w:pPr>
      <w:pBdr/>
      <w:spacing/>
      <w:ind/>
    </w:pPr>
    <w:rPr>
      <w:rFonts w:ascii="Arial" w:hAnsi="Arial" w:eastAsia="Arial" w:cs="Arial"/>
      <w:sz w:val="40"/>
      <w:szCs w:val="40"/>
    </w:rPr>
  </w:style>
  <w:style w:type="paragraph" w:styleId="680">
    <w:name w:val="Heading 2"/>
    <w:basedOn w:val="854"/>
    <w:next w:val="854"/>
    <w:link w:val="681"/>
    <w:uiPriority w:val="9"/>
    <w:unhideWhenUsed/>
    <w:qFormat/>
    <w:pPr>
      <w:keepNext w:val="true"/>
      <w:keepLines w:val="true"/>
      <w:pBdr/>
      <w:spacing w:after="200" w:before="360"/>
      <w:ind/>
      <w:outlineLvl w:val="1"/>
    </w:pPr>
    <w:rPr>
      <w:rFonts w:ascii="Arial" w:hAnsi="Arial" w:eastAsia="Arial" w:cs="Arial"/>
      <w:sz w:val="34"/>
    </w:rPr>
  </w:style>
  <w:style w:type="character" w:styleId="681">
    <w:name w:val="Heading 2 Char"/>
    <w:link w:val="680"/>
    <w:uiPriority w:val="9"/>
    <w:pPr>
      <w:pBdr/>
      <w:spacing/>
      <w:ind/>
    </w:pPr>
    <w:rPr>
      <w:rFonts w:ascii="Arial" w:hAnsi="Arial" w:eastAsia="Arial" w:cs="Arial"/>
      <w:sz w:val="34"/>
    </w:rPr>
  </w:style>
  <w:style w:type="paragraph" w:styleId="682">
    <w:name w:val="Heading 3"/>
    <w:basedOn w:val="854"/>
    <w:next w:val="854"/>
    <w:link w:val="68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83">
    <w:name w:val="Heading 3 Char"/>
    <w:link w:val="682"/>
    <w:uiPriority w:val="9"/>
    <w:pPr>
      <w:pBdr/>
      <w:spacing/>
      <w:ind/>
    </w:pPr>
    <w:rPr>
      <w:rFonts w:ascii="Arial" w:hAnsi="Arial" w:eastAsia="Arial" w:cs="Arial"/>
      <w:sz w:val="30"/>
      <w:szCs w:val="30"/>
    </w:rPr>
  </w:style>
  <w:style w:type="paragraph" w:styleId="684">
    <w:name w:val="Heading 4"/>
    <w:basedOn w:val="854"/>
    <w:next w:val="854"/>
    <w:link w:val="68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85">
    <w:name w:val="Heading 4 Char"/>
    <w:link w:val="684"/>
    <w:uiPriority w:val="9"/>
    <w:pPr>
      <w:pBdr/>
      <w:spacing/>
      <w:ind/>
    </w:pPr>
    <w:rPr>
      <w:rFonts w:ascii="Arial" w:hAnsi="Arial" w:eastAsia="Arial" w:cs="Arial"/>
      <w:b/>
      <w:bCs/>
      <w:sz w:val="26"/>
      <w:szCs w:val="26"/>
    </w:rPr>
  </w:style>
  <w:style w:type="paragraph" w:styleId="686">
    <w:name w:val="Heading 5"/>
    <w:basedOn w:val="854"/>
    <w:next w:val="854"/>
    <w:link w:val="68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87">
    <w:name w:val="Heading 5 Char"/>
    <w:link w:val="686"/>
    <w:uiPriority w:val="9"/>
    <w:pPr>
      <w:pBdr/>
      <w:spacing/>
      <w:ind/>
    </w:pPr>
    <w:rPr>
      <w:rFonts w:ascii="Arial" w:hAnsi="Arial" w:eastAsia="Arial" w:cs="Arial"/>
      <w:b/>
      <w:bCs/>
      <w:sz w:val="24"/>
      <w:szCs w:val="24"/>
    </w:rPr>
  </w:style>
  <w:style w:type="paragraph" w:styleId="688">
    <w:name w:val="Heading 6"/>
    <w:basedOn w:val="854"/>
    <w:next w:val="854"/>
    <w:link w:val="68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89">
    <w:name w:val="Heading 6 Char"/>
    <w:link w:val="688"/>
    <w:uiPriority w:val="9"/>
    <w:pPr>
      <w:pBdr/>
      <w:spacing/>
      <w:ind/>
    </w:pPr>
    <w:rPr>
      <w:rFonts w:ascii="Arial" w:hAnsi="Arial" w:eastAsia="Arial" w:cs="Arial"/>
      <w:b/>
      <w:bCs/>
      <w:sz w:val="22"/>
      <w:szCs w:val="22"/>
    </w:rPr>
  </w:style>
  <w:style w:type="paragraph" w:styleId="690">
    <w:name w:val="Heading 7"/>
    <w:basedOn w:val="854"/>
    <w:next w:val="854"/>
    <w:link w:val="69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91">
    <w:name w:val="Heading 7 Char"/>
    <w:link w:val="690"/>
    <w:uiPriority w:val="9"/>
    <w:pPr>
      <w:pBdr/>
      <w:spacing/>
      <w:ind/>
    </w:pPr>
    <w:rPr>
      <w:rFonts w:ascii="Arial" w:hAnsi="Arial" w:eastAsia="Arial" w:cs="Arial"/>
      <w:b/>
      <w:bCs/>
      <w:i/>
      <w:iCs/>
      <w:sz w:val="22"/>
      <w:szCs w:val="22"/>
    </w:rPr>
  </w:style>
  <w:style w:type="paragraph" w:styleId="692">
    <w:name w:val="Heading 8"/>
    <w:basedOn w:val="854"/>
    <w:next w:val="854"/>
    <w:link w:val="69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93">
    <w:name w:val="Heading 8 Char"/>
    <w:link w:val="692"/>
    <w:uiPriority w:val="9"/>
    <w:pPr>
      <w:pBdr/>
      <w:spacing/>
      <w:ind/>
    </w:pPr>
    <w:rPr>
      <w:rFonts w:ascii="Arial" w:hAnsi="Arial" w:eastAsia="Arial" w:cs="Arial"/>
      <w:i/>
      <w:iCs/>
      <w:sz w:val="22"/>
      <w:szCs w:val="22"/>
    </w:rPr>
  </w:style>
  <w:style w:type="paragraph" w:styleId="694">
    <w:name w:val="Heading 9"/>
    <w:basedOn w:val="854"/>
    <w:next w:val="854"/>
    <w:link w:val="69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95">
    <w:name w:val="Heading 9 Char"/>
    <w:link w:val="694"/>
    <w:uiPriority w:val="9"/>
    <w:pPr>
      <w:pBdr/>
      <w:spacing/>
      <w:ind/>
    </w:pPr>
    <w:rPr>
      <w:rFonts w:ascii="Arial" w:hAnsi="Arial" w:eastAsia="Arial" w:cs="Arial"/>
      <w:i/>
      <w:iCs/>
      <w:sz w:val="21"/>
      <w:szCs w:val="21"/>
    </w:rPr>
  </w:style>
  <w:style w:type="paragraph" w:styleId="696">
    <w:name w:val="Title"/>
    <w:basedOn w:val="854"/>
    <w:next w:val="854"/>
    <w:link w:val="697"/>
    <w:uiPriority w:val="10"/>
    <w:qFormat/>
    <w:pPr>
      <w:pBdr/>
      <w:spacing w:after="200" w:before="300"/>
      <w:ind/>
      <w:contextualSpacing w:val="true"/>
    </w:pPr>
    <w:rPr>
      <w:sz w:val="48"/>
      <w:szCs w:val="48"/>
    </w:rPr>
  </w:style>
  <w:style w:type="character" w:styleId="697">
    <w:name w:val="Title Char"/>
    <w:link w:val="696"/>
    <w:uiPriority w:val="10"/>
    <w:pPr>
      <w:pBdr/>
      <w:spacing/>
      <w:ind/>
    </w:pPr>
    <w:rPr>
      <w:sz w:val="48"/>
      <w:szCs w:val="48"/>
    </w:rPr>
  </w:style>
  <w:style w:type="paragraph" w:styleId="698">
    <w:name w:val="Subtitle"/>
    <w:basedOn w:val="854"/>
    <w:next w:val="854"/>
    <w:link w:val="699"/>
    <w:uiPriority w:val="11"/>
    <w:qFormat/>
    <w:pPr>
      <w:pBdr/>
      <w:spacing w:after="200" w:before="200"/>
      <w:ind/>
    </w:pPr>
    <w:rPr>
      <w:sz w:val="24"/>
      <w:szCs w:val="24"/>
    </w:rPr>
  </w:style>
  <w:style w:type="character" w:styleId="699">
    <w:name w:val="Subtitle Char"/>
    <w:link w:val="698"/>
    <w:uiPriority w:val="11"/>
    <w:pPr>
      <w:pBdr/>
      <w:spacing/>
      <w:ind/>
    </w:pPr>
    <w:rPr>
      <w:sz w:val="24"/>
      <w:szCs w:val="24"/>
    </w:rPr>
  </w:style>
  <w:style w:type="paragraph" w:styleId="700">
    <w:name w:val="Quote"/>
    <w:basedOn w:val="854"/>
    <w:next w:val="854"/>
    <w:link w:val="701"/>
    <w:uiPriority w:val="29"/>
    <w:qFormat/>
    <w:pPr>
      <w:pBdr/>
      <w:spacing/>
      <w:ind w:right="720" w:left="720"/>
    </w:pPr>
    <w:rPr>
      <w:i/>
    </w:rPr>
  </w:style>
  <w:style w:type="character" w:styleId="701">
    <w:name w:val="Quote Char"/>
    <w:link w:val="700"/>
    <w:uiPriority w:val="29"/>
    <w:pPr>
      <w:pBdr/>
      <w:spacing/>
      <w:ind/>
    </w:pPr>
    <w:rPr>
      <w:i/>
    </w:rPr>
  </w:style>
  <w:style w:type="paragraph" w:styleId="702">
    <w:name w:val="Intense Quote"/>
    <w:basedOn w:val="854"/>
    <w:next w:val="854"/>
    <w:link w:val="70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03">
    <w:name w:val="Intense Quote Char"/>
    <w:link w:val="702"/>
    <w:uiPriority w:val="30"/>
    <w:pPr>
      <w:pBdr/>
      <w:spacing/>
      <w:ind/>
    </w:pPr>
    <w:rPr>
      <w:i/>
    </w:rPr>
  </w:style>
  <w:style w:type="paragraph" w:styleId="704">
    <w:name w:val="Header"/>
    <w:basedOn w:val="854"/>
    <w:link w:val="705"/>
    <w:uiPriority w:val="99"/>
    <w:unhideWhenUsed/>
    <w:pPr>
      <w:pBdr/>
      <w:tabs>
        <w:tab w:val="center" w:leader="none" w:pos="7143"/>
        <w:tab w:val="right" w:leader="none" w:pos="14287"/>
      </w:tabs>
      <w:spacing w:after="0" w:line="240" w:lineRule="auto"/>
      <w:ind/>
    </w:pPr>
  </w:style>
  <w:style w:type="character" w:styleId="705">
    <w:name w:val="Header Char"/>
    <w:link w:val="704"/>
    <w:uiPriority w:val="99"/>
    <w:pPr>
      <w:pBdr/>
      <w:spacing/>
      <w:ind/>
    </w:pPr>
  </w:style>
  <w:style w:type="paragraph" w:styleId="706">
    <w:name w:val="Footer"/>
    <w:basedOn w:val="854"/>
    <w:link w:val="709"/>
    <w:uiPriority w:val="99"/>
    <w:unhideWhenUsed/>
    <w:pPr>
      <w:pBdr/>
      <w:tabs>
        <w:tab w:val="center" w:leader="none" w:pos="7143"/>
        <w:tab w:val="right" w:leader="none" w:pos="14287"/>
      </w:tabs>
      <w:spacing w:after="0" w:line="240" w:lineRule="auto"/>
      <w:ind/>
    </w:pPr>
  </w:style>
  <w:style w:type="character" w:styleId="707">
    <w:name w:val="Footer Char"/>
    <w:link w:val="706"/>
    <w:uiPriority w:val="99"/>
    <w:pPr>
      <w:pBdr/>
      <w:spacing/>
      <w:ind/>
    </w:pPr>
  </w:style>
  <w:style w:type="paragraph" w:styleId="708">
    <w:name w:val="Caption"/>
    <w:basedOn w:val="854"/>
    <w:next w:val="854"/>
    <w:uiPriority w:val="35"/>
    <w:semiHidden/>
    <w:unhideWhenUsed/>
    <w:qFormat/>
    <w:pPr>
      <w:pBdr/>
      <w:spacing w:line="276" w:lineRule="auto"/>
      <w:ind/>
    </w:pPr>
    <w:rPr>
      <w:b/>
      <w:bCs/>
      <w:color w:val="4f81bd" w:themeColor="accent1"/>
      <w:sz w:val="18"/>
      <w:szCs w:val="18"/>
    </w:rPr>
  </w:style>
  <w:style w:type="character" w:styleId="709">
    <w:name w:val="Caption Char"/>
    <w:basedOn w:val="708"/>
    <w:link w:val="706"/>
    <w:uiPriority w:val="99"/>
    <w:pPr>
      <w:pBdr/>
      <w:spacing/>
      <w:ind/>
    </w:pPr>
  </w:style>
  <w:style w:type="table" w:styleId="710">
    <w:name w:val="Table Grid"/>
    <w:basedOn w:val="8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Table Grid Light"/>
    <w:basedOn w:val="8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1"/>
    <w:basedOn w:val="8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Plain Table 2"/>
    <w:basedOn w:val="8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Plain Table 3"/>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Plain Table 4"/>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Plain Table 5"/>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w:basedOn w:val="8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1"/>
    <w:basedOn w:val="8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2"/>
    <w:basedOn w:val="8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 Accent 3"/>
    <w:basedOn w:val="8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1 Light - Accent 4"/>
    <w:basedOn w:val="8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 Accent 5"/>
    <w:basedOn w:val="8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6"/>
    <w:basedOn w:val="8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w:basedOn w:val="8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1"/>
    <w:basedOn w:val="8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2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 Accent 5"/>
    <w:basedOn w:val="8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6"/>
    <w:basedOn w:val="8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w:basedOn w:val="8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1"/>
    <w:basedOn w:val="8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3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 Accent 5"/>
    <w:basedOn w:val="8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6"/>
    <w:basedOn w:val="8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w:basedOn w:val="8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1"/>
    <w:basedOn w:val="8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2"/>
    <w:basedOn w:val="8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 Accent 3"/>
    <w:basedOn w:val="8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4 - Accent 4"/>
    <w:basedOn w:val="8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 Accent 5"/>
    <w:basedOn w:val="8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6"/>
    <w:basedOn w:val="8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Accent 1"/>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 Accent 2"/>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 Accent 3"/>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5 Dark- Accent 4"/>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 Accent 5"/>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 Accent 6"/>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6 Colorful"/>
    <w:basedOn w:val="8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3">
    <w:name w:val="Grid Table 6 Colorful - Accent 1"/>
    <w:basedOn w:val="8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4">
    <w:name w:val="Grid Table 6 Colorful - Accent 2"/>
    <w:basedOn w:val="8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5">
    <w:name w:val="Grid Table 6 Colorful - Accent 3"/>
    <w:basedOn w:val="8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6">
    <w:name w:val="Grid Table 6 Colorful - Accent 4"/>
    <w:basedOn w:val="8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7">
    <w:name w:val="Grid Table 6 Colorful - Accent 5"/>
    <w:basedOn w:val="8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8">
    <w:name w:val="Grid Table 6 Colorful - Accent 6"/>
    <w:basedOn w:val="8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9">
    <w:name w:val="Grid Table 7 Colorful"/>
    <w:basedOn w:val="8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1"/>
    <w:basedOn w:val="8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7 Colorful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7 Colorful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7 Colorful - Accent 5"/>
    <w:basedOn w:val="8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6"/>
    <w:basedOn w:val="8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1"/>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2"/>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 Accent 3"/>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1 Light - Accent 4"/>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 Accent 5"/>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6"/>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w:basedOn w:val="8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1"/>
    <w:basedOn w:val="8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2"/>
    <w:basedOn w:val="8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 Accent 3"/>
    <w:basedOn w:val="8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 Accent 4"/>
    <w:basedOn w:val="8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 Accent 5"/>
    <w:basedOn w:val="8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6"/>
    <w:basedOn w:val="8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w:basedOn w:val="8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1"/>
    <w:basedOn w:val="8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2"/>
    <w:basedOn w:val="8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 Accent 3"/>
    <w:basedOn w:val="8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 Accent 4"/>
    <w:basedOn w:val="8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 Accent 5"/>
    <w:basedOn w:val="8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6"/>
    <w:basedOn w:val="8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w:basedOn w:val="8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1"/>
    <w:basedOn w:val="8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2"/>
    <w:basedOn w:val="8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 Accent 3"/>
    <w:basedOn w:val="8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 Accent 4"/>
    <w:basedOn w:val="8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 Accent 5"/>
    <w:basedOn w:val="8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6"/>
    <w:basedOn w:val="8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5 Dark"/>
    <w:basedOn w:val="8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1"/>
    <w:basedOn w:val="8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2"/>
    <w:basedOn w:val="8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5 Dark - Accent 3"/>
    <w:basedOn w:val="8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5 Dark - Accent 4"/>
    <w:basedOn w:val="8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9">
    <w:name w:val="List Table 5 Dark - Accent 5"/>
    <w:basedOn w:val="8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6"/>
    <w:basedOn w:val="8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6 Colorful"/>
    <w:basedOn w:val="8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1"/>
    <w:basedOn w:val="8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2"/>
    <w:basedOn w:val="8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 Accent 3"/>
    <w:basedOn w:val="8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6 Colorful - Accent 4"/>
    <w:basedOn w:val="8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6 Colorful - Accent 5"/>
    <w:basedOn w:val="8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6"/>
    <w:basedOn w:val="8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7 Colorful"/>
    <w:basedOn w:val="8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9">
    <w:name w:val="List Table 7 Colorful - Accent 1"/>
    <w:basedOn w:val="8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10">
    <w:name w:val="List Table 7 Colorful - Accent 2"/>
    <w:basedOn w:val="8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11">
    <w:name w:val="List Table 7 Colorful - Accent 3"/>
    <w:basedOn w:val="8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2">
    <w:name w:val="List Table 7 Colorful - Accent 4"/>
    <w:basedOn w:val="8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3">
    <w:name w:val="List Table 7 Colorful - Accent 5"/>
    <w:basedOn w:val="8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14">
    <w:name w:val="List Table 7 Colorful - Accent 6"/>
    <w:basedOn w:val="8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15">
    <w:name w:val="Lined - Accent"/>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1"/>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2"/>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ned - Accent 3"/>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ned - Accent 4"/>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ned - Accent 5"/>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6"/>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w:basedOn w:val="8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1"/>
    <w:basedOn w:val="8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2"/>
    <w:basedOn w:val="8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3"/>
    <w:basedOn w:val="8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amp; Lined - Accent 4"/>
    <w:basedOn w:val="8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5"/>
    <w:basedOn w:val="8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6"/>
    <w:basedOn w:val="8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w:basedOn w:val="8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1"/>
    <w:basedOn w:val="8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2"/>
    <w:basedOn w:val="8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 Accent 3"/>
    <w:basedOn w:val="8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 Accent 4"/>
    <w:basedOn w:val="8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 Accent 5"/>
    <w:basedOn w:val="8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6"/>
    <w:basedOn w:val="8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6">
    <w:name w:val="Hyperlink"/>
    <w:uiPriority w:val="99"/>
    <w:unhideWhenUsed/>
    <w:pPr>
      <w:pBdr/>
      <w:spacing/>
      <w:ind/>
    </w:pPr>
    <w:rPr>
      <w:color w:val="0000ff" w:themeColor="hyperlink"/>
      <w:u w:val="single"/>
    </w:rPr>
  </w:style>
  <w:style w:type="paragraph" w:styleId="837">
    <w:name w:val="footnote text"/>
    <w:basedOn w:val="854"/>
    <w:link w:val="838"/>
    <w:uiPriority w:val="99"/>
    <w:semiHidden/>
    <w:unhideWhenUsed/>
    <w:pPr>
      <w:pBdr/>
      <w:spacing w:after="40" w:line="240" w:lineRule="auto"/>
      <w:ind/>
    </w:pPr>
    <w:rPr>
      <w:sz w:val="18"/>
    </w:rPr>
  </w:style>
  <w:style w:type="character" w:styleId="838">
    <w:name w:val="Footnote Text Char"/>
    <w:link w:val="837"/>
    <w:uiPriority w:val="99"/>
    <w:pPr>
      <w:pBdr/>
      <w:spacing/>
      <w:ind/>
    </w:pPr>
    <w:rPr>
      <w:sz w:val="18"/>
    </w:rPr>
  </w:style>
  <w:style w:type="character" w:styleId="839">
    <w:name w:val="footnote reference"/>
    <w:uiPriority w:val="99"/>
    <w:unhideWhenUsed/>
    <w:pPr>
      <w:pBdr/>
      <w:spacing/>
      <w:ind/>
    </w:pPr>
    <w:rPr>
      <w:vertAlign w:val="superscript"/>
    </w:rPr>
  </w:style>
  <w:style w:type="paragraph" w:styleId="840">
    <w:name w:val="endnote text"/>
    <w:basedOn w:val="854"/>
    <w:link w:val="841"/>
    <w:uiPriority w:val="99"/>
    <w:semiHidden/>
    <w:unhideWhenUsed/>
    <w:pPr>
      <w:pBdr/>
      <w:spacing w:after="0" w:line="240" w:lineRule="auto"/>
      <w:ind/>
    </w:pPr>
    <w:rPr>
      <w:sz w:val="20"/>
    </w:rPr>
  </w:style>
  <w:style w:type="character" w:styleId="841">
    <w:name w:val="Endnote Text Char"/>
    <w:link w:val="840"/>
    <w:uiPriority w:val="99"/>
    <w:pPr>
      <w:pBdr/>
      <w:spacing/>
      <w:ind/>
    </w:pPr>
    <w:rPr>
      <w:sz w:val="20"/>
    </w:rPr>
  </w:style>
  <w:style w:type="character" w:styleId="842">
    <w:name w:val="endnote reference"/>
    <w:uiPriority w:val="99"/>
    <w:semiHidden/>
    <w:unhideWhenUsed/>
    <w:pPr>
      <w:pBdr/>
      <w:spacing/>
      <w:ind/>
    </w:pPr>
    <w:rPr>
      <w:vertAlign w:val="superscript"/>
    </w:rPr>
  </w:style>
  <w:style w:type="paragraph" w:styleId="843">
    <w:name w:val="toc 1"/>
    <w:basedOn w:val="854"/>
    <w:next w:val="854"/>
    <w:uiPriority w:val="39"/>
    <w:unhideWhenUsed/>
    <w:pPr>
      <w:pBdr/>
      <w:spacing w:after="57"/>
      <w:ind w:right="0" w:firstLine="0" w:left="0"/>
    </w:pPr>
  </w:style>
  <w:style w:type="paragraph" w:styleId="844">
    <w:name w:val="toc 2"/>
    <w:basedOn w:val="854"/>
    <w:next w:val="854"/>
    <w:uiPriority w:val="39"/>
    <w:unhideWhenUsed/>
    <w:pPr>
      <w:pBdr/>
      <w:spacing w:after="57"/>
      <w:ind w:right="0" w:firstLine="0" w:left="283"/>
    </w:pPr>
  </w:style>
  <w:style w:type="paragraph" w:styleId="845">
    <w:name w:val="toc 3"/>
    <w:basedOn w:val="854"/>
    <w:next w:val="854"/>
    <w:uiPriority w:val="39"/>
    <w:unhideWhenUsed/>
    <w:pPr>
      <w:pBdr/>
      <w:spacing w:after="57"/>
      <w:ind w:right="0" w:firstLine="0" w:left="567"/>
    </w:pPr>
  </w:style>
  <w:style w:type="paragraph" w:styleId="846">
    <w:name w:val="toc 4"/>
    <w:basedOn w:val="854"/>
    <w:next w:val="854"/>
    <w:uiPriority w:val="39"/>
    <w:unhideWhenUsed/>
    <w:pPr>
      <w:pBdr/>
      <w:spacing w:after="57"/>
      <w:ind w:right="0" w:firstLine="0" w:left="850"/>
    </w:pPr>
  </w:style>
  <w:style w:type="paragraph" w:styleId="847">
    <w:name w:val="toc 5"/>
    <w:basedOn w:val="854"/>
    <w:next w:val="854"/>
    <w:uiPriority w:val="39"/>
    <w:unhideWhenUsed/>
    <w:pPr>
      <w:pBdr/>
      <w:spacing w:after="57"/>
      <w:ind w:right="0" w:firstLine="0" w:left="1134"/>
    </w:pPr>
  </w:style>
  <w:style w:type="paragraph" w:styleId="848">
    <w:name w:val="toc 6"/>
    <w:basedOn w:val="854"/>
    <w:next w:val="854"/>
    <w:uiPriority w:val="39"/>
    <w:unhideWhenUsed/>
    <w:pPr>
      <w:pBdr/>
      <w:spacing w:after="57"/>
      <w:ind w:right="0" w:firstLine="0" w:left="1417"/>
    </w:pPr>
  </w:style>
  <w:style w:type="paragraph" w:styleId="849">
    <w:name w:val="toc 7"/>
    <w:basedOn w:val="854"/>
    <w:next w:val="854"/>
    <w:uiPriority w:val="39"/>
    <w:unhideWhenUsed/>
    <w:pPr>
      <w:pBdr/>
      <w:spacing w:after="57"/>
      <w:ind w:right="0" w:firstLine="0" w:left="1701"/>
    </w:pPr>
  </w:style>
  <w:style w:type="paragraph" w:styleId="850">
    <w:name w:val="toc 8"/>
    <w:basedOn w:val="854"/>
    <w:next w:val="854"/>
    <w:uiPriority w:val="39"/>
    <w:unhideWhenUsed/>
    <w:pPr>
      <w:pBdr/>
      <w:spacing w:after="57"/>
      <w:ind w:right="0" w:firstLine="0" w:left="1984"/>
    </w:pPr>
  </w:style>
  <w:style w:type="paragraph" w:styleId="851">
    <w:name w:val="toc 9"/>
    <w:basedOn w:val="854"/>
    <w:next w:val="854"/>
    <w:uiPriority w:val="39"/>
    <w:unhideWhenUsed/>
    <w:pPr>
      <w:pBdr/>
      <w:spacing w:after="57"/>
      <w:ind w:right="0" w:firstLine="0" w:left="2268"/>
    </w:pPr>
  </w:style>
  <w:style w:type="paragraph" w:styleId="852">
    <w:name w:val="TOC Heading"/>
    <w:uiPriority w:val="39"/>
    <w:unhideWhenUsed/>
    <w:pPr>
      <w:pBdr/>
      <w:spacing/>
      <w:ind/>
    </w:pPr>
  </w:style>
  <w:style w:type="paragraph" w:styleId="853">
    <w:name w:val="table of figures"/>
    <w:basedOn w:val="854"/>
    <w:next w:val="854"/>
    <w:uiPriority w:val="99"/>
    <w:unhideWhenUsed/>
    <w:pPr>
      <w:pBdr/>
      <w:spacing w:after="0" w:afterAutospacing="0"/>
      <w:ind/>
    </w:pPr>
  </w:style>
  <w:style w:type="paragraph" w:styleId="854" w:default="1">
    <w:name w:val="Normal"/>
    <w:qFormat/>
    <w:pPr>
      <w:pBdr/>
      <w:spacing/>
      <w:ind/>
    </w:pPr>
  </w:style>
  <w:style w:type="table" w:styleId="8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6" w:default="1">
    <w:name w:val="No List"/>
    <w:uiPriority w:val="99"/>
    <w:semiHidden/>
    <w:unhideWhenUsed/>
    <w:pPr>
      <w:pBdr/>
      <w:spacing/>
      <w:ind/>
    </w:pPr>
  </w:style>
  <w:style w:type="paragraph" w:styleId="857">
    <w:name w:val="No Spacing"/>
    <w:basedOn w:val="854"/>
    <w:uiPriority w:val="1"/>
    <w:qFormat/>
    <w:pPr>
      <w:pBdr/>
      <w:spacing w:after="0" w:line="240" w:lineRule="auto"/>
      <w:ind/>
    </w:pPr>
  </w:style>
  <w:style w:type="paragraph" w:styleId="858">
    <w:name w:val="List Paragraph"/>
    <w:basedOn w:val="854"/>
    <w:uiPriority w:val="34"/>
    <w:qFormat/>
    <w:pPr>
      <w:pBdr/>
      <w:spacing/>
      <w:ind w:left="720"/>
      <w:contextualSpacing w:val="true"/>
    </w:pPr>
  </w:style>
  <w:style w:type="character" w:styleId="859"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mailto:kevin.sailor@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2024-08-16T12:56:59Z</dcterms:modified>
</cp:coreProperties>
</file>